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AC9F">
      <w:pPr>
        <w:pStyle w:val="2"/>
        <w:tabs>
          <w:tab w:val="left" w:pos="0"/>
        </w:tabs>
        <w:bidi w:val="0"/>
        <w:adjustRightInd w:val="0"/>
        <w:snapToGrid w:val="0"/>
        <w:jc w:val="center"/>
        <w:rPr>
          <w:rFonts w:hint="eastAsia" w:asciiTheme="minorHAnsi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长顺上街177号综合楼三楼办公区域改造项目公开招标中标公告</w:t>
      </w:r>
    </w:p>
    <w:p w14:paraId="3B3C9C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一、项目概况</w:t>
      </w:r>
    </w:p>
    <w:p w14:paraId="04CAD0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（一）采购人：成都绿州市容环境（集团）有限责任公司。</w:t>
      </w:r>
    </w:p>
    <w:p w14:paraId="4738AD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（二）采购项目名称/标的名称：长顺上街177号综合楼三楼办公区域改造项目。</w:t>
      </w:r>
    </w:p>
    <w:p w14:paraId="3490AB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（三）项目编号：SCHX-20241128152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0FBCFE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（四）采购限价：人民币1998615.2元（大写：壹佰玖拾玖万捌仟陆佰壹拾伍元贰角）。</w:t>
      </w:r>
    </w:p>
    <w:p w14:paraId="426019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（五）项目包件情况：本项目共1个包。</w:t>
      </w:r>
    </w:p>
    <w:p w14:paraId="26E25A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（六）主要内容：对成都绿州市容环境（集团）有限责任公司综合楼三楼办公区域进行改造，主要涉及钢结构搭建、装修等内容，同时配套建设消防、强电、给排水及暖通等相关内容。</w:t>
      </w:r>
    </w:p>
    <w:p w14:paraId="07E345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二、开标日期：2024年12月26日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3B0E6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三、采购方式：公开招标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49B9EB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四、评审小组成员名单：王建川（评标委员会组长）、何洁、罗梦萍、姚春江、罗荆蕾（采购人代表）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3CB06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五、资格审查结果以及评审得分情况：详见附件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因网站格式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限制，具体完整的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资格审查结果以及评审得分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情况表详见中国采购与招标网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）。</w:t>
      </w:r>
    </w:p>
    <w:p w14:paraId="2385AA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六、评审结果：</w:t>
      </w:r>
    </w:p>
    <w:tbl>
      <w:tblPr>
        <w:tblStyle w:val="6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2"/>
        <w:gridCol w:w="2708"/>
        <w:gridCol w:w="2591"/>
        <w:gridCol w:w="1866"/>
      </w:tblGrid>
      <w:tr w14:paraId="0D3C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8A2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中标人名称</w:t>
            </w:r>
          </w:p>
        </w:tc>
        <w:tc>
          <w:tcPr>
            <w:tcW w:w="2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B55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6B7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中标人地址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291A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中标金额（元）</w:t>
            </w:r>
          </w:p>
        </w:tc>
      </w:tr>
      <w:tr w14:paraId="3611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A65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四川原创环境工程有限公司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8F0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长顺上街177号综合楼三楼改建项目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4F9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成都市武侯区永盛东街40号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CE9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1895471.92</w:t>
            </w:r>
          </w:p>
        </w:tc>
      </w:tr>
    </w:tbl>
    <w:p w14:paraId="05F43E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七、代理服务收费标准及金额：</w:t>
      </w:r>
    </w:p>
    <w:p w14:paraId="240BF2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收取标准：本项目采购代理服务费参照《招标代理服务收费管理暂行办法》(计价格[2002]1980号)、《国家发展改革委关于进一步放开建设项目专业服务价格的通知》(发改价格2015】299号)的规定和“成本+合理利润”原则标准收取代理服务费，由中标人在领取中标通知书前向招标代理公司一次性支付。</w:t>
      </w:r>
    </w:p>
    <w:p w14:paraId="3DDE77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2、本项目代理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费总金额:22988元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79464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本中标公告公示期为1个工作日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8A649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、联系方式</w:t>
      </w:r>
    </w:p>
    <w:p w14:paraId="6D5508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(一)采购人信息</w:t>
      </w:r>
    </w:p>
    <w:p w14:paraId="4CA7CE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    称：成都绿州市容环境（集团）有限责任公司</w:t>
      </w:r>
    </w:p>
    <w:p w14:paraId="1C6694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    址：成都市青羊区长顺上街177号</w:t>
      </w:r>
    </w:p>
    <w:p w14:paraId="49CACD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人：周老师</w:t>
      </w:r>
    </w:p>
    <w:p w14:paraId="6B4C83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联系方式：028-86258953</w:t>
      </w:r>
    </w:p>
    <w:p w14:paraId="056741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(二)采购代理机构信息</w:t>
      </w:r>
    </w:p>
    <w:p w14:paraId="16FBAA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    称：四川浩行招标代理有限公司</w:t>
      </w:r>
    </w:p>
    <w:p w14:paraId="435050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    址：成都市高新区九兴大道14号凯乐国际5幢-503号</w:t>
      </w:r>
    </w:p>
    <w:p w14:paraId="2B17E6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人：张女士</w:t>
      </w:r>
    </w:p>
    <w:p w14:paraId="7740B7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联系电话：028-85588661</w:t>
      </w:r>
    </w:p>
    <w:p w14:paraId="7CF15D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电子邮件：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"mailto:scqxzb@163.com"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schxzb@qq.com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</w:p>
    <w:p w14:paraId="4C832C8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8D6E1B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5FEC1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105" w:rightChars="-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长顺上街177号综合楼三楼办公区域改造项目</w:t>
      </w:r>
    </w:p>
    <w:p w14:paraId="27C8D4DE">
      <w:pPr>
        <w:ind w:right="-105" w:rightChars="-5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资格性评审表</w:t>
      </w:r>
    </w:p>
    <w:tbl>
      <w:tblPr>
        <w:tblStyle w:val="6"/>
        <w:tblpPr w:leftFromText="180" w:rightFromText="180" w:vertAnchor="text" w:horzAnchor="page" w:tblpX="818" w:tblpY="95"/>
        <w:tblOverlap w:val="never"/>
        <w:tblW w:w="5225" w:type="pct"/>
        <w:tblInd w:w="-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2026"/>
        <w:gridCol w:w="751"/>
        <w:gridCol w:w="1353"/>
        <w:gridCol w:w="2191"/>
        <w:gridCol w:w="693"/>
        <w:gridCol w:w="699"/>
      </w:tblGrid>
      <w:tr w14:paraId="52CD4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34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43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采 购 人：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成都绿州市容环境（集团）有限责任公司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8A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采购编号：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SCHX-20241128152</w:t>
            </w:r>
          </w:p>
        </w:tc>
      </w:tr>
      <w:tr w14:paraId="61ACF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3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25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2024年12月26日10时30分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34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5" w:rightChars="-50"/>
              <w:jc w:val="left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地点：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四川浩行招标代理有限公司</w:t>
            </w:r>
          </w:p>
        </w:tc>
      </w:tr>
      <w:tr w14:paraId="04CAD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6EA321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724"/>
              <w:jc w:val="right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评审内容</w:t>
            </w:r>
          </w:p>
          <w:p w14:paraId="10A416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投标人名称</w:t>
            </w:r>
          </w:p>
        </w:tc>
        <w:tc>
          <w:tcPr>
            <w:tcW w:w="29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F2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资格性审查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D1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是否合格</w:t>
            </w:r>
          </w:p>
        </w:tc>
      </w:tr>
      <w:tr w14:paraId="2551B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5B7B01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right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AA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是否属于禁止参加投标的供应商</w:t>
            </w: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FC6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是否满足《政府采购法》第二十二条规定的条件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3A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招标文件中的其他资格性要求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78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是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E1F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否</w:t>
            </w:r>
          </w:p>
        </w:tc>
      </w:tr>
      <w:tr w14:paraId="2695E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9" w:type="pct"/>
            <w:tcBorders>
              <w:top w:val="single" w:color="auto" w:sz="4" w:space="0"/>
            </w:tcBorders>
            <w:noWrap w:val="0"/>
            <w:vAlign w:val="center"/>
          </w:tcPr>
          <w:p w14:paraId="5E44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四川原创环境工程有限公司</w:t>
            </w:r>
          </w:p>
        </w:tc>
        <w:tc>
          <w:tcPr>
            <w:tcW w:w="930" w:type="pct"/>
            <w:tcBorders>
              <w:top w:val="single" w:color="auto" w:sz="4" w:space="0"/>
            </w:tcBorders>
            <w:noWrap w:val="0"/>
            <w:vAlign w:val="center"/>
          </w:tcPr>
          <w:p w14:paraId="7D444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96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1DB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1005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D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80BE95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 w14:paraId="2DFC2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9" w:type="pct"/>
            <w:noWrap w:val="0"/>
            <w:vAlign w:val="center"/>
          </w:tcPr>
          <w:p w14:paraId="7FFB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四川驿城建筑工程有限责任公司</w:t>
            </w:r>
          </w:p>
        </w:tc>
        <w:tc>
          <w:tcPr>
            <w:tcW w:w="930" w:type="pct"/>
            <w:noWrap w:val="0"/>
            <w:vAlign w:val="center"/>
          </w:tcPr>
          <w:p w14:paraId="5358C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 w14:paraId="14BB5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1005" w:type="pct"/>
            <w:tcBorders>
              <w:right w:val="single" w:color="auto" w:sz="4" w:space="0"/>
            </w:tcBorders>
            <w:noWrap w:val="0"/>
            <w:vAlign w:val="center"/>
          </w:tcPr>
          <w:p w14:paraId="3E4E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A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9" w:type="pct"/>
            <w:tcBorders>
              <w:left w:val="single" w:color="auto" w:sz="4" w:space="0"/>
            </w:tcBorders>
            <w:noWrap w:val="0"/>
            <w:vAlign w:val="center"/>
          </w:tcPr>
          <w:p w14:paraId="695591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 w14:paraId="5EB73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成都市成华区建筑安装工程公司</w:t>
            </w:r>
          </w:p>
        </w:tc>
        <w:tc>
          <w:tcPr>
            <w:tcW w:w="9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7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96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10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3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6376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 w14:paraId="1996C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四川顶跃建设工程有限公司</w:t>
            </w:r>
          </w:p>
        </w:tc>
        <w:tc>
          <w:tcPr>
            <w:tcW w:w="9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96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10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E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E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√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6EB6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 w14:paraId="047CB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00" w:type="pct"/>
            <w:gridSpan w:val="7"/>
            <w:noWrap w:val="0"/>
            <w:vAlign w:val="center"/>
          </w:tcPr>
          <w:p w14:paraId="6751E9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color w:val="auto"/>
                <w:sz w:val="21"/>
                <w:szCs w:val="21"/>
                <w:lang w:val="zh-CN"/>
              </w:rPr>
              <w:t>注：</w:t>
            </w:r>
            <w:r>
              <w:rPr>
                <w:rFonts w:hint="eastAsia" w:hAnsi="宋体"/>
                <w:b/>
                <w:color w:val="auto"/>
                <w:sz w:val="21"/>
                <w:szCs w:val="21"/>
              </w:rPr>
              <w:t>审查内容符合规定的，在相应栏目划“√”；不符合规定的，在相应的栏目注明原因。</w:t>
            </w:r>
            <w:r>
              <w:rPr>
                <w:rFonts w:hint="eastAsia" w:hAnsi="宋体"/>
                <w:b/>
                <w:color w:val="auto"/>
                <w:sz w:val="21"/>
                <w:szCs w:val="21"/>
                <w:lang w:val="zh-CN"/>
              </w:rPr>
              <w:t>投标文件只有通过以上全部条件才能通过审查。</w:t>
            </w:r>
          </w:p>
        </w:tc>
      </w:tr>
    </w:tbl>
    <w:p w14:paraId="72ABC4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2EDD203">
      <w:pPr>
        <w:ind w:right="-105" w:rightChars="-5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长顺上街177号综合楼三楼办公区域改造项目</w:t>
      </w:r>
    </w:p>
    <w:p w14:paraId="64D31503">
      <w:pPr>
        <w:tabs>
          <w:tab w:val="center" w:pos="7454"/>
          <w:tab w:val="left" w:pos="9000"/>
        </w:tabs>
        <w:ind w:right="-105" w:rightChars="-5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评审情况表</w:t>
      </w:r>
    </w:p>
    <w:tbl>
      <w:tblPr>
        <w:tblStyle w:val="6"/>
        <w:tblW w:w="5113" w:type="pct"/>
        <w:tblInd w:w="-2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578"/>
        <w:gridCol w:w="2055"/>
        <w:gridCol w:w="1902"/>
        <w:gridCol w:w="154"/>
        <w:gridCol w:w="2055"/>
        <w:gridCol w:w="2119"/>
      </w:tblGrid>
      <w:tr w14:paraId="25DA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6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C2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采 购 人：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成都绿州市容环境（集团）有限责任公司</w:t>
            </w:r>
          </w:p>
        </w:tc>
        <w:tc>
          <w:tcPr>
            <w:tcW w:w="203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46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采购编号：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SCHX-20241128152</w:t>
            </w:r>
          </w:p>
        </w:tc>
      </w:tr>
      <w:tr w14:paraId="364B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6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9C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2024年12月26日10时30分</w:t>
            </w:r>
          </w:p>
        </w:tc>
        <w:tc>
          <w:tcPr>
            <w:tcW w:w="203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6A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地点：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四川浩行招标代理有限公司</w:t>
            </w:r>
          </w:p>
        </w:tc>
      </w:tr>
      <w:tr w14:paraId="2B2B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4F65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投标人名称</w:t>
            </w:r>
          </w:p>
          <w:p w14:paraId="79850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评审情况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四川原创环境工程有限公司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四川驿城建筑工程有限责任公司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7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成都市成华区建筑安装工程公司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四川顶跃建设工程有限公司</w:t>
            </w:r>
          </w:p>
        </w:tc>
      </w:tr>
      <w:tr w14:paraId="68D3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13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1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是否通过资格性审查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7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6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5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</w:tr>
      <w:tr w14:paraId="323D6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0C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是否通过符合性审查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A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5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4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4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9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9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</w:tr>
      <w:tr w14:paraId="6CBD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2C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评分因素</w:t>
            </w:r>
          </w:p>
        </w:tc>
        <w:tc>
          <w:tcPr>
            <w:tcW w:w="27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B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C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1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得分</w:t>
            </w:r>
          </w:p>
        </w:tc>
      </w:tr>
      <w:tr w14:paraId="36CB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DAB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报价30%</w:t>
            </w:r>
          </w:p>
        </w:tc>
        <w:tc>
          <w:tcPr>
            <w:tcW w:w="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00720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29.52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27.38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1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27.57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27.24 </w:t>
            </w:r>
          </w:p>
        </w:tc>
      </w:tr>
      <w:tr w14:paraId="2F8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9EC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施工方案与技术措施30%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38158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</w:tr>
      <w:tr w14:paraId="4B84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324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质量管理体系及保证措施16%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35E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14.80 </w:t>
            </w:r>
          </w:p>
        </w:tc>
      </w:tr>
      <w:tr w14:paraId="0F2A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56057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安全防护及文明施工管理体系与措施8%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B5E78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7.60 </w:t>
            </w:r>
          </w:p>
        </w:tc>
      </w:tr>
      <w:tr w14:paraId="4D97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34572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项目进度计划与措施6%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D75D1D">
            <w:pPr>
              <w:widowControl/>
              <w:spacing w:line="24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5.70 </w:t>
            </w:r>
          </w:p>
        </w:tc>
      </w:tr>
      <w:tr w14:paraId="2BA6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2CC83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环境保护管理体系与措施4%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1C5B1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</w:tr>
      <w:tr w14:paraId="5D5B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A65DD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履约能力4%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7A981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 w14:paraId="7573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7C24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优先采购节能、环境标志产品2%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E355A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 w14:paraId="11AE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5C7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2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01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29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C7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96.52</w:t>
            </w:r>
          </w:p>
        </w:tc>
        <w:tc>
          <w:tcPr>
            <w:tcW w:w="29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7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90.78</w:t>
            </w:r>
          </w:p>
        </w:tc>
        <w:tc>
          <w:tcPr>
            <w:tcW w:w="29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8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91.97</w:t>
            </w:r>
          </w:p>
        </w:tc>
        <w:tc>
          <w:tcPr>
            <w:tcW w:w="30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5E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92.74</w:t>
            </w:r>
          </w:p>
        </w:tc>
      </w:tr>
      <w:tr w14:paraId="250E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EF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评审结果</w:t>
            </w:r>
          </w:p>
        </w:tc>
        <w:tc>
          <w:tcPr>
            <w:tcW w:w="96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31A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中标候选人；</w:t>
            </w:r>
          </w:p>
          <w:p w14:paraId="79E5B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报价金额：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1895471.92 元。</w:t>
            </w:r>
          </w:p>
        </w:tc>
        <w:tc>
          <w:tcPr>
            <w:tcW w:w="96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DE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中标候选人；</w:t>
            </w:r>
          </w:p>
          <w:p w14:paraId="7F11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报价金额：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1935744.59  元。</w:t>
            </w:r>
          </w:p>
        </w:tc>
        <w:tc>
          <w:tcPr>
            <w:tcW w:w="964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54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中标候选人；</w:t>
            </w:r>
          </w:p>
          <w:p w14:paraId="7B5EF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报价金额：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1932235.52 元。</w:t>
            </w:r>
          </w:p>
        </w:tc>
        <w:tc>
          <w:tcPr>
            <w:tcW w:w="30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A3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中标候选人；</w:t>
            </w:r>
          </w:p>
          <w:p w14:paraId="7B194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报价金额：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>1782000.98 元。</w:t>
            </w:r>
          </w:p>
        </w:tc>
      </w:tr>
    </w:tbl>
    <w:p w14:paraId="68DD3548">
      <w:pP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注：1.资格及符合性审查请填写“是”或“否”（如未通过，写否，并列明原因）；2.以上得分均为加权平均值。</w:t>
      </w:r>
    </w:p>
    <w:p w14:paraId="4CFE3052">
      <w:pPr>
        <w:rPr>
          <w:rFonts w:hint="default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4098"/>
    <w:rsid w:val="16D17153"/>
    <w:rsid w:val="17B5012D"/>
    <w:rsid w:val="2DDB2E87"/>
    <w:rsid w:val="3FA13270"/>
    <w:rsid w:val="4DFC4098"/>
    <w:rsid w:val="5D132369"/>
    <w:rsid w:val="70385584"/>
    <w:rsid w:val="71972A3B"/>
    <w:rsid w:val="7B9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1468</Words>
  <Characters>1797</Characters>
  <Lines>0</Lines>
  <Paragraphs>0</Paragraphs>
  <TotalTime>1</TotalTime>
  <ScaleCrop>false</ScaleCrop>
  <LinksUpToDate>false</LinksUpToDate>
  <CharactersWithSpaces>1866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2024-12-26T07:40:00Z</dcterms:created>
  <dc:creator> </dc:creator>
  <cp:lastModifiedBy> </cp:lastModifiedBy>
  <dcterms:modified xsi:type="dcterms:W3CDTF">2024-12-27T02:43:02Z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856D6BFC88544B5A98310E149B9C31B7_11</vt:lpwstr>
  </property>
  <property fmtid="{D5CDD505-2E9C-101B-9397-08002B2CF9AE}" pid="4" name="KSOTemplateDocerSaveRecord">
    <vt:lpwstr>eyJoZGlkIjoiYjE2M2MwMWUwMzI1MWRiNjJhNDhhMWM2NzQ1NThmMjIiLCJ1c2VySWQiOiI0NTUxOTQzODcifQ==</vt:lpwstr>
  </property>
</Properties>
</file>